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поставки </w:t>
      </w:r>
      <w:r w:rsidR="00225EA7">
        <w:t>медицинск</w:t>
      </w:r>
      <w:r w:rsidR="00193034">
        <w:t xml:space="preserve">ого </w:t>
      </w:r>
      <w:r w:rsidR="00C3014C">
        <w:t>инструментария</w:t>
      </w:r>
      <w:bookmarkStart w:id="0" w:name="_GoBack"/>
      <w:bookmarkEnd w:id="0"/>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225EA7" w:rsidP="00D0672C">
      <w:pPr>
        <w:ind w:left="6946"/>
        <w:rPr>
          <w:rFonts w:ascii="Times New Roman" w:hAnsi="Times New Roman" w:cs="Times New Roman"/>
        </w:rPr>
      </w:pPr>
      <w:r>
        <w:rPr>
          <w:rFonts w:ascii="Times New Roman" w:hAnsi="Times New Roman" w:cs="Times New Roman"/>
        </w:rPr>
        <w:t>08.11.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1" w:name="bookmark0"/>
      <w:bookmarkStart w:id="2" w:name="bookmark1"/>
      <w:r>
        <w:t>Часть 1. ОБЩАЯ ЧАСТЬ</w:t>
      </w:r>
      <w:bookmarkEnd w:id="1"/>
      <w:bookmarkEnd w:id="2"/>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225EA7">
            <w:pPr>
              <w:pStyle w:val="a5"/>
              <w:framePr w:w="10757" w:h="12989" w:wrap="none" w:vAnchor="page" w:hAnchor="page" w:x="723" w:y="2882"/>
              <w:shd w:val="clear" w:color="auto" w:fill="auto"/>
              <w:ind w:firstLine="0"/>
              <w:jc w:val="both"/>
            </w:pPr>
            <w:r>
              <w:rPr>
                <w:b/>
                <w:bCs/>
              </w:rPr>
              <w:t>«</w:t>
            </w:r>
            <w:r w:rsidR="00225EA7">
              <w:rPr>
                <w:b/>
                <w:bCs/>
              </w:rPr>
              <w:t>08</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9B3BF7">
            <w:pPr>
              <w:pStyle w:val="a5"/>
              <w:framePr w:w="10757" w:h="12989" w:wrap="none" w:vAnchor="page" w:hAnchor="page" w:x="723" w:y="2882"/>
              <w:shd w:val="clear" w:color="auto" w:fill="auto"/>
              <w:tabs>
                <w:tab w:val="left" w:pos="2486"/>
              </w:tabs>
              <w:ind w:firstLine="0"/>
              <w:jc w:val="both"/>
            </w:pPr>
            <w:r>
              <w:rPr>
                <w:b/>
                <w:bCs/>
              </w:rPr>
              <w:t>«</w:t>
            </w:r>
            <w:r w:rsidR="00225EA7">
              <w:rPr>
                <w:b/>
                <w:bCs/>
              </w:rPr>
              <w:t>1</w:t>
            </w:r>
            <w:r w:rsidR="009B3BF7">
              <w:rPr>
                <w:b/>
                <w:bCs/>
              </w:rPr>
              <w:t>5</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t>срок,</w:t>
            </w:r>
            <w:r>
              <w:tab/>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225EA7">
              <w:rPr>
                <w:b/>
                <w:bCs/>
              </w:rPr>
              <w:t>08</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Default="008042EF" w:rsidP="009B3BF7">
            <w:pPr>
              <w:pStyle w:val="a5"/>
              <w:framePr w:w="10757" w:h="14688" w:wrap="none" w:vAnchor="page" w:hAnchor="page" w:x="723" w:y="1135"/>
              <w:shd w:val="clear" w:color="auto" w:fill="auto"/>
              <w:ind w:firstLine="0"/>
            </w:pPr>
            <w:r>
              <w:rPr>
                <w:b/>
                <w:bCs/>
              </w:rPr>
              <w:t>«</w:t>
            </w:r>
            <w:r w:rsidR="00225EA7">
              <w:rPr>
                <w:b/>
                <w:bCs/>
              </w:rPr>
              <w:t>1</w:t>
            </w:r>
            <w:r w:rsidR="009B3BF7">
              <w:rPr>
                <w:b/>
                <w:bCs/>
              </w:rPr>
              <w:t>5</w:t>
            </w:r>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225EA7">
              <w:rPr>
                <w:b/>
                <w:bCs/>
              </w:rPr>
              <w:t>1</w:t>
            </w:r>
            <w:r w:rsidR="009B3BF7">
              <w:rPr>
                <w:b/>
                <w:bCs/>
              </w:rPr>
              <w:t>5</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225EA7">
              <w:rPr>
                <w:rFonts w:ascii="Times New Roman" w:hAnsi="Times New Roman" w:cs="Times New Roman"/>
                <w:b/>
                <w:bCs/>
              </w:rPr>
              <w:t>1</w:t>
            </w:r>
            <w:r w:rsidR="009B3BF7">
              <w:rPr>
                <w:rFonts w:ascii="Times New Roman" w:hAnsi="Times New Roman" w:cs="Times New Roman"/>
                <w:b/>
                <w:bCs/>
              </w:rPr>
              <w:t>5</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9B3BF7" w:rsidP="008042EF">
            <w:pPr>
              <w:pStyle w:val="a5"/>
              <w:framePr w:w="10757" w:h="14626" w:wrap="none" w:vAnchor="page" w:hAnchor="page" w:x="723" w:y="1135"/>
              <w:shd w:val="clear" w:color="auto" w:fill="auto"/>
              <w:jc w:val="both"/>
              <w:rPr>
                <w:sz w:val="22"/>
                <w:szCs w:val="22"/>
              </w:rPr>
            </w:pPr>
            <w:r>
              <w:rPr>
                <w:b/>
                <w:bCs/>
                <w:sz w:val="22"/>
                <w:szCs w:val="22"/>
              </w:rPr>
              <w:t>17</w:t>
            </w:r>
            <w:r w:rsidR="00042C53">
              <w:rPr>
                <w:b/>
                <w:bCs/>
                <w:sz w:val="22"/>
                <w:szCs w:val="22"/>
              </w:rPr>
              <w:t xml:space="preserve"> </w:t>
            </w:r>
            <w:r w:rsidR="008042EF">
              <w:rPr>
                <w:b/>
                <w:bCs/>
                <w:sz w:val="22"/>
                <w:szCs w:val="22"/>
              </w:rPr>
              <w:t>000,00 (</w:t>
            </w:r>
            <w:r>
              <w:rPr>
                <w:b/>
                <w:bCs/>
                <w:sz w:val="22"/>
                <w:szCs w:val="22"/>
              </w:rPr>
              <w:t>Семнадцать тысяч)</w:t>
            </w:r>
            <w:r w:rsidR="008042EF">
              <w:rPr>
                <w:b/>
                <w:bCs/>
                <w:sz w:val="22"/>
                <w:szCs w:val="22"/>
              </w:rPr>
              <w:t xml:space="preserve"> рублей 00 копеек</w:t>
            </w:r>
          </w:p>
          <w:p w:rsidR="00B14D63" w:rsidRDefault="008042EF" w:rsidP="008042EF">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 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 и иных нормативных</w:t>
            </w:r>
            <w:r>
              <w:tab/>
              <w:t>документов,</w:t>
            </w:r>
            <w:r>
              <w:tab/>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D21611" w:rsidRDefault="00821B42" w:rsidP="00190F14">
      <w:pPr>
        <w:jc w:val="center"/>
        <w:rPr>
          <w:rFonts w:ascii="Times New Roman" w:hAnsi="Times New Roman" w:cs="Times New Roman"/>
          <w:b/>
          <w:bCs/>
        </w:rPr>
      </w:pPr>
      <w:r w:rsidRPr="00821B42">
        <w:rPr>
          <w:rFonts w:ascii="Times New Roman" w:hAnsi="Times New Roman" w:cs="Times New Roman"/>
          <w:b/>
          <w:bCs/>
        </w:rPr>
        <w:t>Часть 2. ОПИСАНИЕ ПРЕДМЕТА ЗАКУПКИ</w:t>
      </w:r>
    </w:p>
    <w:p w:rsidR="000E1953" w:rsidRDefault="00821B42" w:rsidP="00190F14">
      <w:pPr>
        <w:jc w:val="center"/>
        <w:rPr>
          <w:rFonts w:ascii="Times New Roman" w:hAnsi="Times New Roman" w:cs="Times New Roman"/>
          <w:b/>
        </w:rPr>
      </w:pPr>
      <w:r w:rsidRPr="00821B42">
        <w:rPr>
          <w:rFonts w:ascii="Times New Roman" w:hAnsi="Times New Roman" w:cs="Times New Roman"/>
          <w:b/>
          <w:bCs/>
        </w:rPr>
        <w:br/>
      </w:r>
      <w:r w:rsidR="00190F14">
        <w:t>На пр</w:t>
      </w:r>
      <w:r w:rsidR="00D21611">
        <w:t>аво заключения договора поставка медицинского инструментария</w:t>
      </w:r>
    </w:p>
    <w:p w:rsidR="000E1953" w:rsidRDefault="000E1953" w:rsidP="00821B42">
      <w:pPr>
        <w:jc w:val="center"/>
        <w:rPr>
          <w:rFonts w:ascii="Times New Roman" w:hAnsi="Times New Roman" w:cs="Times New Roman"/>
          <w:b/>
        </w:rPr>
      </w:pPr>
    </w:p>
    <w:p w:rsidR="00D21611" w:rsidRPr="00B14E43" w:rsidRDefault="00D21611" w:rsidP="00D21611">
      <w:pPr>
        <w:pStyle w:val="afc"/>
        <w:ind w:left="708" w:firstLine="708"/>
        <w:jc w:val="left"/>
      </w:pPr>
      <w:r>
        <w:t>ТЕХНИЧЕСКИЕ ХАРАКТЕРИСТИКИ</w:t>
      </w:r>
    </w:p>
    <w:p w:rsidR="00D21611" w:rsidRPr="00734CB2" w:rsidRDefault="00D21611" w:rsidP="00D21611">
      <w:pPr>
        <w:ind w:left="1416"/>
        <w:rPr>
          <w:sz w:val="20"/>
          <w:szCs w:val="20"/>
        </w:rPr>
      </w:pPr>
      <w:r w:rsidRPr="00F271B0">
        <w:rPr>
          <w:sz w:val="20"/>
          <w:szCs w:val="20"/>
        </w:rPr>
        <w:t xml:space="preserve">                    </w:t>
      </w: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tbl>
      <w:tblPr>
        <w:tblpPr w:leftFromText="180" w:rightFromText="180" w:vertAnchor="text" w:tblpY="1"/>
        <w:tblOverlap w:val="neve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94"/>
        <w:gridCol w:w="2150"/>
      </w:tblGrid>
      <w:tr w:rsidR="001A36EB" w:rsidTr="00256C70">
        <w:trPr>
          <w:trHeight w:val="933"/>
        </w:trPr>
        <w:tc>
          <w:tcPr>
            <w:tcW w:w="3309"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Ед.изм.</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1A36EB" w:rsidP="00256C70">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1A36EB" w:rsidTr="00256C70">
        <w:trPr>
          <w:trHeight w:val="324"/>
        </w:trPr>
        <w:tc>
          <w:tcPr>
            <w:tcW w:w="3309" w:type="dxa"/>
            <w:tcBorders>
              <w:top w:val="single" w:sz="4" w:space="0" w:color="auto"/>
              <w:left w:val="single" w:sz="4" w:space="0" w:color="auto"/>
              <w:bottom w:val="single" w:sz="4" w:space="0" w:color="auto"/>
              <w:right w:val="single" w:sz="4" w:space="0" w:color="auto"/>
            </w:tcBorders>
            <w:vAlign w:val="center"/>
            <w:hideMark/>
          </w:tcPr>
          <w:p w:rsidR="001A36EB" w:rsidRPr="00956A7C" w:rsidRDefault="00D21611" w:rsidP="001A36EB">
            <w:pPr>
              <w:spacing w:line="254" w:lineRule="auto"/>
              <w:rPr>
                <w:rFonts w:ascii="Arial" w:eastAsia="Calibri" w:hAnsi="Arial" w:cs="Arial"/>
                <w:sz w:val="16"/>
                <w:szCs w:val="16"/>
                <w:lang w:eastAsia="en-US"/>
              </w:rPr>
            </w:pPr>
            <w:r>
              <w:rPr>
                <w:rFonts w:ascii="Arial" w:eastAsia="Calibri" w:hAnsi="Arial" w:cs="Arial"/>
                <w:sz w:val="16"/>
                <w:szCs w:val="16"/>
                <w:lang w:eastAsia="en-US"/>
              </w:rPr>
              <w:t>Стекло для микропрепаратов по ТУ 9464-012-52876859-2014,предметное,СП-7101 со шлиф.краями, 26*76 мм, толщ.1,0 мм.,уп.72шт/3600шт.Мини.Лаб</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256C70">
            <w:pPr>
              <w:spacing w:line="254" w:lineRule="auto"/>
              <w:rPr>
                <w:rFonts w:ascii="Arial" w:hAnsi="Arial" w:cs="Arial"/>
                <w:sz w:val="16"/>
                <w:szCs w:val="16"/>
                <w:lang w:eastAsia="en-US"/>
              </w:rPr>
            </w:pPr>
            <w:r>
              <w:rPr>
                <w:rFonts w:ascii="Arial" w:hAnsi="Arial" w:cs="Arial"/>
                <w:sz w:val="16"/>
                <w:szCs w:val="16"/>
                <w:lang w:eastAsia="en-US"/>
              </w:rPr>
              <w:t>шт.</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D21611" w:rsidP="00256C70">
            <w:pPr>
              <w:spacing w:line="254" w:lineRule="auto"/>
              <w:rPr>
                <w:rFonts w:ascii="Arial" w:hAnsi="Arial" w:cs="Arial"/>
                <w:sz w:val="16"/>
                <w:szCs w:val="16"/>
                <w:lang w:eastAsia="en-US"/>
              </w:rPr>
            </w:pPr>
            <w:r>
              <w:rPr>
                <w:rFonts w:ascii="Arial" w:hAnsi="Arial" w:cs="Arial"/>
                <w:sz w:val="16"/>
                <w:szCs w:val="16"/>
                <w:lang w:eastAsia="en-US"/>
              </w:rPr>
              <w:t>7 704</w:t>
            </w:r>
          </w:p>
        </w:tc>
      </w:tr>
    </w:tbl>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Pr="00EE3278" w:rsidRDefault="001A36EB" w:rsidP="001A36EB">
      <w:pPr>
        <w:ind w:left="708"/>
        <w:rPr>
          <w:lang w:val="en-US"/>
        </w:rPr>
      </w:pPr>
    </w:p>
    <w:p w:rsidR="00190F14" w:rsidRPr="00EE3278" w:rsidRDefault="00190F14" w:rsidP="001A36EB">
      <w:pPr>
        <w:ind w:left="708"/>
        <w:rPr>
          <w:lang w:val="en-US"/>
        </w:rPr>
      </w:pPr>
    </w:p>
    <w:p w:rsidR="00B14D63" w:rsidRDefault="00B14D63">
      <w:pPr>
        <w:spacing w:line="1" w:lineRule="exact"/>
      </w:pPr>
    </w:p>
    <w:p w:rsidR="00B14D63" w:rsidRPr="004568B6" w:rsidRDefault="00B14D63">
      <w:pPr>
        <w:spacing w:line="1" w:lineRule="exact"/>
        <w:rPr>
          <w:rFonts w:ascii="Times New Roman" w:hAnsi="Times New Roman" w:cs="Times New Roman"/>
        </w:rPr>
        <w:sectPr w:rsidR="00B14D63" w:rsidRPr="004568B6">
          <w:pgSz w:w="11900" w:h="16840"/>
          <w:pgMar w:top="360" w:right="360" w:bottom="360" w:left="360" w:header="0" w:footer="3" w:gutter="0"/>
          <w:cols w:space="720"/>
          <w:noEndnote/>
          <w:docGrid w:linePitch="360"/>
        </w:sect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BB0B23">
        <w:rPr>
          <w:b/>
          <w:sz w:val="24"/>
          <w:szCs w:val="24"/>
          <w:u w:val="single"/>
        </w:rPr>
        <w:t>8</w:t>
      </w:r>
      <w:r w:rsidR="00D21611">
        <w:rPr>
          <w:b/>
          <w:sz w:val="24"/>
          <w:szCs w:val="24"/>
          <w:u w:val="single"/>
        </w:rPr>
        <w:t>7</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lastRenderedPageBreak/>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68B6">
        <w:rPr>
          <w:rFonts w:ascii="Times New Roman" w:hAnsi="Times New Roman" w:cs="Times New Roman"/>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C3014C"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3" w:rsidRDefault="00042C53">
      <w:r>
        <w:separator/>
      </w:r>
    </w:p>
  </w:endnote>
  <w:endnote w:type="continuationSeparator" w:id="0">
    <w:p w:rsidR="00042C53" w:rsidRDefault="0004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3" w:rsidRDefault="00042C53"/>
  </w:footnote>
  <w:footnote w:type="continuationSeparator" w:id="0">
    <w:p w:rsidR="00042C53" w:rsidRDefault="00042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53" w:rsidRDefault="00042C53"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2C53" w:rsidRDefault="00042C5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76E27"/>
    <w:rsid w:val="00176F21"/>
    <w:rsid w:val="00190F14"/>
    <w:rsid w:val="00193034"/>
    <w:rsid w:val="001A36EB"/>
    <w:rsid w:val="00225EA7"/>
    <w:rsid w:val="00226AD6"/>
    <w:rsid w:val="002565FA"/>
    <w:rsid w:val="00267EFE"/>
    <w:rsid w:val="00347FC7"/>
    <w:rsid w:val="004203FD"/>
    <w:rsid w:val="00433588"/>
    <w:rsid w:val="004568B6"/>
    <w:rsid w:val="00585D56"/>
    <w:rsid w:val="005A7D9F"/>
    <w:rsid w:val="006013B3"/>
    <w:rsid w:val="008042EF"/>
    <w:rsid w:val="00821B42"/>
    <w:rsid w:val="00916533"/>
    <w:rsid w:val="009569C5"/>
    <w:rsid w:val="009A0064"/>
    <w:rsid w:val="009B3BF7"/>
    <w:rsid w:val="009C308C"/>
    <w:rsid w:val="00A25753"/>
    <w:rsid w:val="00B14D63"/>
    <w:rsid w:val="00B27FBF"/>
    <w:rsid w:val="00B43AA5"/>
    <w:rsid w:val="00B71444"/>
    <w:rsid w:val="00BB0B23"/>
    <w:rsid w:val="00BC6844"/>
    <w:rsid w:val="00C3014C"/>
    <w:rsid w:val="00CC67B3"/>
    <w:rsid w:val="00D0672C"/>
    <w:rsid w:val="00D21611"/>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9202</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Сабукевич</cp:lastModifiedBy>
  <cp:revision>5</cp:revision>
  <dcterms:created xsi:type="dcterms:W3CDTF">2019-11-29T09:33:00Z</dcterms:created>
  <dcterms:modified xsi:type="dcterms:W3CDTF">2019-11-29T09:53:00Z</dcterms:modified>
</cp:coreProperties>
</file>